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A56FBC2" w14:textId="30869747" w:rsidR="004E6D08" w:rsidRPr="00982975" w:rsidRDefault="00CD6DBC" w:rsidP="00F5793C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bookmarkStart w:id="0" w:name="_Hlk162277994"/>
      <w:r w:rsidRPr="00CD6DBC">
        <w:rPr>
          <w:rFonts w:eastAsia="Times New Roman"/>
          <w:noProof/>
          <w:lang w:bidi="ar-SA"/>
        </w:rPr>
        <w:drawing>
          <wp:inline distT="0" distB="0" distL="0" distR="0" wp14:anchorId="6E392102" wp14:editId="5451C45E">
            <wp:extent cx="3514725" cy="1619250"/>
            <wp:effectExtent l="0" t="0" r="0" b="0"/>
            <wp:docPr id="1862130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979F0BC" w14:textId="77777777" w:rsidR="009569CC" w:rsidRDefault="009569C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6A28C77D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Pr="00BE355C" w:rsidRDefault="0054611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C8BD13F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D6DB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31D0ECE0" w:rsidR="008D619E" w:rsidRPr="001E5CF6" w:rsidRDefault="009569CC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8D619E" w:rsidRPr="00270329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0410"/>
      <w:bookmarkStart w:id="3" w:name="_Hlk155962636"/>
      <w:r w:rsidR="008D619E">
        <w:rPr>
          <w:rFonts w:ascii="Times New Roman" w:hAnsi="Times New Roman" w:cs="Times New Roman"/>
          <w:bCs/>
          <w:caps/>
        </w:rPr>
        <w:t>ПМ.0</w:t>
      </w:r>
      <w:r w:rsidR="0091640D">
        <w:rPr>
          <w:rFonts w:ascii="Times New Roman" w:hAnsi="Times New Roman" w:cs="Times New Roman"/>
          <w:bCs/>
          <w:caps/>
        </w:rPr>
        <w:t>4</w:t>
      </w:r>
      <w:r w:rsidR="008D619E">
        <w:rPr>
          <w:rFonts w:ascii="Times New Roman" w:hAnsi="Times New Roman" w:cs="Times New Roman"/>
          <w:bCs/>
          <w:caps/>
        </w:rPr>
        <w:t xml:space="preserve"> «</w:t>
      </w:r>
      <w:r w:rsidR="0091640D" w:rsidRPr="0091640D">
        <w:rPr>
          <w:rFonts w:ascii="Times New Roman" w:hAnsi="Times New Roman" w:cs="Times New Roman"/>
          <w:bCs/>
          <w:caps/>
        </w:rPr>
        <w:t>Составление и использование бухгалтерской (финансовой) отчетности</w:t>
      </w:r>
      <w:r w:rsidR="008D619E">
        <w:rPr>
          <w:rFonts w:ascii="Times New Roman" w:hAnsi="Times New Roman" w:cs="Times New Roman"/>
          <w:bCs/>
          <w:caps/>
        </w:rPr>
        <w:t>»</w:t>
      </w:r>
      <w:bookmarkEnd w:id="2"/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3"/>
      <w:r w:rsidR="008D619E" w:rsidRPr="00270329">
        <w:rPr>
          <w:rFonts w:ascii="Times New Roman" w:hAnsi="Times New Roman" w:cs="Times New Roman"/>
        </w:rPr>
        <w:t xml:space="preserve">разработана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6FCAE2A9" w:rsidR="008D619E" w:rsidRPr="00270329" w:rsidRDefault="001A13C6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2C3D2E2" w:rsidR="008D619E" w:rsidRPr="00E83058" w:rsidRDefault="001A13C6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91640D">
        <w:rPr>
          <w:bCs/>
          <w:caps/>
        </w:rPr>
        <w:t>4</w:t>
      </w:r>
      <w:r w:rsidR="00E06477">
        <w:rPr>
          <w:bCs/>
          <w:caps/>
        </w:rPr>
        <w:t xml:space="preserve"> «</w:t>
      </w:r>
      <w:r w:rsidR="0091640D" w:rsidRPr="0091640D">
        <w:rPr>
          <w:bCs/>
          <w:caps/>
        </w:rPr>
        <w:t>Составление и использование бухгалтерской (финансовой) отчетности</w:t>
      </w:r>
      <w:r w:rsidR="00E06477">
        <w:rPr>
          <w:bCs/>
          <w:caps/>
        </w:rPr>
        <w:t>»</w:t>
      </w:r>
      <w:r w:rsidR="008D619E">
        <w:rPr>
          <w:bC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 xml:space="preserve">общеобразовательных </w:t>
      </w:r>
      <w:r w:rsidR="00546112" w:rsidRPr="00546112">
        <w:t xml:space="preserve">гуманитарных </w:t>
      </w:r>
      <w:r w:rsidR="008D619E" w:rsidRPr="00F4525E">
        <w:t>и социально-</w:t>
      </w:r>
      <w:r w:rsidR="00546112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4" w:name="_Hlk98324935"/>
      <w:bookmarkStart w:id="5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CD6DBC">
        <w:rPr>
          <w:color w:val="000000"/>
          <w:kern w:val="28"/>
          <w:u w:val="single"/>
          <w:lang w:eastAsia="en-US"/>
        </w:rPr>
        <w:t>16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CD6DBC">
        <w:rPr>
          <w:color w:val="000000"/>
          <w:kern w:val="28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1AB828C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</w:t>
      </w:r>
      <w:r w:rsidR="001A13C6">
        <w:rPr>
          <w:sz w:val="24"/>
          <w:szCs w:val="24"/>
        </w:rPr>
        <w:t xml:space="preserve">ФОНДА ОЦЕНОЧНЫХ СРЕДСТВ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B487E26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</w:t>
      </w:r>
      <w:r w:rsidR="001A13C6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60CF0169" w14:textId="68AAD8FB" w:rsidR="001A13C6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1A13C6">
        <w:rPr>
          <w:sz w:val="24"/>
          <w:szCs w:val="24"/>
        </w:rPr>
        <w:t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</w:t>
      </w:r>
      <w:r>
        <w:rPr>
          <w:sz w:val="24"/>
          <w:szCs w:val="24"/>
        </w:rPr>
        <w:t xml:space="preserve"> </w:t>
      </w:r>
      <w:r w:rsidRPr="001A13C6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79C6D7C9" w14:textId="41F95BED" w:rsidR="00AD1B26" w:rsidRPr="00985450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8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8"/>
    </w:p>
    <w:p w14:paraId="5C512EC2" w14:textId="77777777" w:rsidR="00AD1B26" w:rsidRPr="00CD2E10" w:rsidRDefault="004F643E" w:rsidP="001A13C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/>
        <w:ind w:firstLine="709"/>
        <w:jc w:val="both"/>
        <w:rPr>
          <w:sz w:val="24"/>
          <w:szCs w:val="24"/>
        </w:rPr>
      </w:pPr>
      <w:bookmarkStart w:id="9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9"/>
    </w:p>
    <w:p w14:paraId="317BA251" w14:textId="63046BB9" w:rsidR="00AD1B26" w:rsidRPr="00CD2E10" w:rsidRDefault="00257F93" w:rsidP="001A13C6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7C75E823" w14:textId="4292FC8B" w:rsidR="00DC723A" w:rsidRPr="001A13C6" w:rsidRDefault="00DC723A" w:rsidP="001A13C6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38.02.01 Экономика и бухгалтерский учет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(по отраслям).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 xml:space="preserve">Код профессиональных </w:t>
            </w:r>
            <w:r w:rsidRPr="000440F8">
              <w:rPr>
                <w:rStyle w:val="211pt0"/>
              </w:rPr>
              <w:lastRenderedPageBreak/>
              <w:t>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lastRenderedPageBreak/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1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1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</w:t>
      </w:r>
      <w:r w:rsidRPr="00EE6379">
        <w:rPr>
          <w:sz w:val="24"/>
          <w:szCs w:val="24"/>
        </w:rPr>
        <w:lastRenderedPageBreak/>
        <w:t>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2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2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4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</w:rPr>
              <w:t>Закрытие учетных бухгалтерских регистров.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 xml:space="preserve">Определение и анализ уровня и динамики </w:t>
            </w:r>
            <w:r w:rsidRPr="00623232">
              <w:rPr>
                <w:bCs/>
                <w:lang w:val="ru-RU"/>
              </w:rPr>
              <w:lastRenderedPageBreak/>
              <w:t>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261D873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C5ACC6C" w14:textId="0EB9A2AD" w:rsidR="00983755" w:rsidRPr="00907384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5793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2A273BC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74C349A" w14:textId="2D3E9F35" w:rsidR="00983755" w:rsidRPr="00F5793C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F5793C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717FC61" w14:textId="47958B02" w:rsidR="001A13C6" w:rsidRDefault="001A13C6" w:rsidP="001A13C6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5" w:name="bookmark13"/>
      <w:bookmarkEnd w:id="14"/>
    </w:p>
    <w:p w14:paraId="4F02A843" w14:textId="77777777" w:rsidR="001A13C6" w:rsidRDefault="001A13C6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566E78AA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5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6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33BF68CA" w14:textId="05B56449" w:rsidR="001A13C6" w:rsidRDefault="001A13C6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1AD4E6D7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8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39F5870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1A13C6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r w:rsidR="001A13C6">
        <w:rPr>
          <w:sz w:val="24"/>
          <w:szCs w:val="24"/>
        </w:rPr>
        <w:t>ФОСу</w:t>
      </w:r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0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19"/>
            <w:bookmarkEnd w:id="20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55966843"/>
            <w:bookmarkStart w:id="22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объем работ по финансовому анализу, потребность в трудовых, финансовых и </w:t>
            </w:r>
            <w:r w:rsidRPr="0062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3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lastRenderedPageBreak/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3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2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5E582E4C" w14:textId="77777777" w:rsidR="001A13C6" w:rsidRDefault="001A13C6">
      <w:pPr>
        <w:rPr>
          <w:rFonts w:ascii="Times New Roman" w:hAnsi="Times New Roman" w:cs="Times New Roman"/>
        </w:rPr>
      </w:pPr>
    </w:p>
    <w:p w14:paraId="0F9BC15E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D346BF" w14:textId="2F52990A" w:rsidR="001A13C6" w:rsidRPr="00CD2E10" w:rsidRDefault="001A13C6" w:rsidP="001A13C6">
      <w:pPr>
        <w:pStyle w:val="12"/>
        <w:shd w:val="clear" w:color="auto" w:fill="auto"/>
        <w:tabs>
          <w:tab w:val="left" w:pos="74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24" w:name="bookmark16"/>
      <w:r>
        <w:rPr>
          <w:sz w:val="24"/>
          <w:szCs w:val="24"/>
        </w:rPr>
        <w:lastRenderedPageBreak/>
        <w:t xml:space="preserve">5. </w:t>
      </w:r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>ение производственной практики</w:t>
      </w:r>
      <w:bookmarkEnd w:id="24"/>
    </w:p>
    <w:p w14:paraId="774DE9EC" w14:textId="77777777" w:rsidR="001A13C6" w:rsidRPr="00923DF7" w:rsidRDefault="001A13C6" w:rsidP="001A13C6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0313E917" w14:textId="77777777" w:rsidR="001A13C6" w:rsidRPr="00923DF7" w:rsidRDefault="001A13C6" w:rsidP="001A13C6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5" w:name="_Toc96001159"/>
      <w:bookmarkStart w:id="26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2DE1CFA1" w14:textId="77777777" w:rsidR="001A13C6" w:rsidRPr="00923DF7" w:rsidRDefault="001A13C6" w:rsidP="001A13C6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5"/>
      <w:bookmarkEnd w:id="26"/>
    </w:p>
    <w:p w14:paraId="4AE716C7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E619F1F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22221F09" w14:textId="77777777" w:rsidR="001A13C6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20D6DA5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28341076" w14:textId="77777777" w:rsidR="001A13C6" w:rsidRPr="00546112" w:rsidRDefault="001A13C6" w:rsidP="001A13C6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24D204B4" w14:textId="1B5A1EEF" w:rsidR="00147FE5" w:rsidRPr="00147FE5" w:rsidRDefault="00147FE5" w:rsidP="001A13C6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7" w:name="Par134"/>
      <w:bookmarkEnd w:id="2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A050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BEE" w14:textId="77777777" w:rsidR="00CA0508" w:rsidRDefault="00CA0508" w:rsidP="00AD1B26">
      <w:r>
        <w:separator/>
      </w:r>
    </w:p>
  </w:endnote>
  <w:endnote w:type="continuationSeparator" w:id="0">
    <w:p w14:paraId="721C1665" w14:textId="77777777" w:rsidR="00CA0508" w:rsidRDefault="00CA050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DCB0" w14:textId="77777777" w:rsidR="00CA0508" w:rsidRDefault="00CA0508"/>
  </w:footnote>
  <w:footnote w:type="continuationSeparator" w:id="0">
    <w:p w14:paraId="18376AE5" w14:textId="77777777" w:rsidR="00CA0508" w:rsidRDefault="00CA05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D0C99"/>
    <w:multiLevelType w:val="multilevel"/>
    <w:tmpl w:val="F766C03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30"/>
  </w:num>
  <w:num w:numId="8" w16cid:durableId="1719622530">
    <w:abstractNumId w:val="19"/>
  </w:num>
  <w:num w:numId="9" w16cid:durableId="385690539">
    <w:abstractNumId w:val="15"/>
  </w:num>
  <w:num w:numId="10" w16cid:durableId="1271668690">
    <w:abstractNumId w:val="10"/>
  </w:num>
  <w:num w:numId="11" w16cid:durableId="406193430">
    <w:abstractNumId w:val="20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6"/>
  </w:num>
  <w:num w:numId="16" w16cid:durableId="201864173">
    <w:abstractNumId w:val="22"/>
  </w:num>
  <w:num w:numId="17" w16cid:durableId="157968953">
    <w:abstractNumId w:val="26"/>
  </w:num>
  <w:num w:numId="18" w16cid:durableId="1639800992">
    <w:abstractNumId w:val="13"/>
  </w:num>
  <w:num w:numId="19" w16cid:durableId="1502697626">
    <w:abstractNumId w:val="27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7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5"/>
  </w:num>
  <w:num w:numId="29" w16cid:durableId="672298696">
    <w:abstractNumId w:val="18"/>
  </w:num>
  <w:num w:numId="30" w16cid:durableId="1716654469">
    <w:abstractNumId w:val="28"/>
  </w:num>
  <w:num w:numId="31" w16cid:durableId="296882105">
    <w:abstractNumId w:val="32"/>
  </w:num>
  <w:num w:numId="32" w16cid:durableId="1145707165">
    <w:abstractNumId w:val="21"/>
  </w:num>
  <w:num w:numId="33" w16cid:durableId="174761237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A13C6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9CC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CD6DBC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5793C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31</Pages>
  <Words>7345</Words>
  <Characters>41867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239</cp:revision>
  <cp:lastPrinted>2022-03-17T05:48:00Z</cp:lastPrinted>
  <dcterms:created xsi:type="dcterms:W3CDTF">2020-03-03T06:59:00Z</dcterms:created>
  <dcterms:modified xsi:type="dcterms:W3CDTF">2024-03-25T12:13:00Z</dcterms:modified>
</cp:coreProperties>
</file>